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数学</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经贸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数学  </w:t>
            </w:r>
            <w:r>
              <w:rPr>
                <w:rFonts w:hint="eastAsia" w:ascii="宋体" w:hAnsi="宋体" w:eastAsia="宋体" w:cs="宋体"/>
                <w:b/>
                <w:bCs/>
                <w:kern w:val="0"/>
                <w:sz w:val="40"/>
                <w:szCs w:val="40"/>
                <w:u w:val="single"/>
              </w:rPr>
              <w:t xml:space="preserve">  </w:t>
            </w:r>
          </w:p>
          <w:p>
            <w:pPr>
              <w:widowControl/>
              <w:ind w:firstLine="4016" w:firstLineChars="10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23会计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翟爱玲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25</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numPr>
                <w:ilvl w:val="0"/>
                <w:numId w:val="2"/>
              </w:numPr>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要求学生掌握基础知识，并运用所学解答题目。</w:t>
            </w:r>
          </w:p>
          <w:p>
            <w:pPr>
              <w:widowControl/>
              <w:numPr>
                <w:ilvl w:val="0"/>
                <w:numId w:val="2"/>
              </w:numPr>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掌握公式、定理，并能解决实际问题。</w:t>
            </w:r>
          </w:p>
          <w:p>
            <w:pPr>
              <w:widowControl/>
              <w:jc w:val="left"/>
              <w:rPr>
                <w:rFonts w:ascii="宋体" w:hAnsi="宋体" w:eastAsia="宋体" w:cs="宋体"/>
                <w:kern w:val="0"/>
                <w:sz w:val="24"/>
                <w:szCs w:val="24"/>
              </w:rPr>
            </w:pPr>
            <w:r>
              <w:rPr>
                <w:rFonts w:hint="eastAsia" w:ascii="宋体" w:hAnsi="宋体" w:eastAsia="宋体" w:cs="宋体"/>
                <w:kern w:val="0"/>
                <w:sz w:val="32"/>
                <w:szCs w:val="32"/>
                <w:lang w:val="en-US" w:eastAsia="zh-CN"/>
              </w:rPr>
              <w:t>3、培养学生分析问题，灵活运用知识的能力，提高学生学习兴趣。</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ind w:firstLine="480" w:firstLineChars="150"/>
              <w:jc w:val="left"/>
              <w:rPr>
                <w:rFonts w:ascii="仿宋" w:hAnsi="仿宋" w:eastAsia="仿宋" w:cs="仿宋"/>
                <w:sz w:val="28"/>
                <w:szCs w:val="28"/>
              </w:rPr>
            </w:pPr>
            <w:r>
              <w:rPr>
                <w:rFonts w:hint="eastAsia" w:ascii="宋体" w:hAnsi="宋体" w:eastAsia="宋体" w:cs="宋体"/>
                <w:kern w:val="0"/>
                <w:sz w:val="32"/>
                <w:szCs w:val="32"/>
                <w:lang w:eastAsia="zh-CN"/>
              </w:rPr>
              <w:t>本班学生基础较差，缺乏自主学习能力、分析问题能力、解决问题、灵活运用知识解决问题能力差，遇到困难习惯性的逃避或者放弃。不做笔记、不预习，没有良好的学习习惯。</w:t>
            </w: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spacing w:line="420" w:lineRule="exact"/>
              <w:ind w:firstLine="420" w:firstLineChars="200"/>
            </w:pPr>
          </w:p>
          <w:p>
            <w:pPr>
              <w:widowControl/>
              <w:numPr>
                <w:ilvl w:val="0"/>
                <w:numId w:val="3"/>
              </w:numPr>
              <w:ind w:leftChars="0"/>
              <w:jc w:val="left"/>
              <w:rPr>
                <w:rFonts w:hint="eastAsia"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三角函数一章从初中的锐角三角函数扩展到现在的任意角的三角函数，增强学生数形结合思想。</w:t>
            </w:r>
          </w:p>
          <w:p>
            <w:pPr>
              <w:widowControl/>
              <w:numPr>
                <w:ilvl w:val="0"/>
                <w:numId w:val="3"/>
              </w:numPr>
              <w:ind w:leftChars="0"/>
              <w:jc w:val="left"/>
              <w:rPr>
                <w:rFonts w:hint="eastAsia"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直线与圆的方程是几何与数学相结合，重点是直线方程和圆的方程以及直线和直线、直线和圆位置关系。</w:t>
            </w:r>
          </w:p>
          <w:p>
            <w:pPr>
              <w:widowControl/>
              <w:numPr>
                <w:ilvl w:val="0"/>
                <w:numId w:val="3"/>
              </w:numPr>
              <w:ind w:leftChars="0"/>
              <w:jc w:val="left"/>
              <w:rPr>
                <w:rFonts w:hint="eastAsia"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简单的几何体与我们的生活紧密联系在一起，主要学习多面体和旋转体的几何定义、面积、体积计算；认识三视图和直观图。</w:t>
            </w:r>
          </w:p>
          <w:p>
            <w:pPr>
              <w:spacing w:line="420" w:lineRule="exact"/>
              <w:rPr>
                <w:rFonts w:hint="default"/>
                <w:lang w:val="en-US"/>
              </w:rPr>
            </w:pPr>
            <w:r>
              <w:rPr>
                <w:rFonts w:hint="eastAsia" w:ascii="宋体" w:hAnsi="宋体" w:eastAsia="宋体" w:cs="宋体"/>
                <w:b/>
                <w:bCs/>
                <w:kern w:val="0"/>
                <w:sz w:val="32"/>
                <w:szCs w:val="32"/>
                <w:lang w:val="en-US" w:eastAsia="zh-CN"/>
              </w:rPr>
              <w:t>4、初步了解概率和统计初步知识。</w:t>
            </w: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spacing w:line="420" w:lineRule="exact"/>
              <w:ind w:firstLine="420" w:firstLineChars="200"/>
            </w:pPr>
          </w:p>
          <w:p>
            <w:pPr>
              <w:widowControl/>
              <w:numPr>
                <w:ilvl w:val="0"/>
                <w:numId w:val="0"/>
              </w:numPr>
              <w:ind w:leftChars="0"/>
              <w:jc w:val="left"/>
              <w:rPr>
                <w:rFonts w:hint="eastAsia" w:ascii="宋体" w:hAnsi="宋体" w:eastAsia="宋体" w:cs="宋体"/>
                <w:b/>
                <w:bCs/>
                <w:kern w:val="0"/>
                <w:sz w:val="32"/>
                <w:szCs w:val="32"/>
                <w:lang w:eastAsia="zh-CN"/>
              </w:rPr>
            </w:pPr>
            <w:r>
              <w:rPr>
                <w:rFonts w:hint="eastAsia" w:ascii="宋体" w:hAnsi="宋体" w:eastAsia="宋体" w:cs="宋体"/>
                <w:b/>
                <w:bCs/>
                <w:kern w:val="0"/>
                <w:sz w:val="32"/>
                <w:szCs w:val="32"/>
                <w:lang w:eastAsia="zh-CN"/>
              </w:rPr>
              <w:t>重点：</w:t>
            </w:r>
          </w:p>
          <w:p>
            <w:pPr>
              <w:widowControl/>
              <w:numPr>
                <w:ilvl w:val="0"/>
                <w:numId w:val="0"/>
              </w:numPr>
              <w:ind w:leftChars="0"/>
              <w:jc w:val="left"/>
              <w:rPr>
                <w:rFonts w:hint="eastAsia"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1、三角函数、诱导公式及图像、性质。</w:t>
            </w:r>
          </w:p>
          <w:p>
            <w:pPr>
              <w:widowControl/>
              <w:numPr>
                <w:ilvl w:val="0"/>
                <w:numId w:val="4"/>
              </w:numPr>
              <w:ind w:leftChars="0"/>
              <w:jc w:val="left"/>
              <w:rPr>
                <w:rFonts w:hint="eastAsia"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直线方程和圆的方程有关计算。</w:t>
            </w:r>
          </w:p>
          <w:p>
            <w:pPr>
              <w:widowControl/>
              <w:numPr>
                <w:ilvl w:val="0"/>
                <w:numId w:val="4"/>
              </w:numPr>
              <w:ind w:leftChars="0"/>
              <w:jc w:val="left"/>
              <w:rPr>
                <w:rFonts w:hint="eastAsia"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多面体和旋转体表面积和体积计算。</w:t>
            </w:r>
          </w:p>
          <w:p>
            <w:pPr>
              <w:widowControl/>
              <w:numPr>
                <w:ilvl w:val="0"/>
                <w:numId w:val="4"/>
              </w:numPr>
              <w:ind w:leftChars="0"/>
              <w:jc w:val="left"/>
              <w:rPr>
                <w:rFonts w:hint="eastAsia"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概率和抽样方法。</w:t>
            </w:r>
          </w:p>
          <w:p>
            <w:pPr>
              <w:widowControl/>
              <w:numPr>
                <w:numId w:val="0"/>
              </w:numPr>
              <w:jc w:val="left"/>
              <w:rPr>
                <w:rFonts w:hint="eastAsia"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难点：</w:t>
            </w:r>
          </w:p>
          <w:p>
            <w:pPr>
              <w:widowControl/>
              <w:numPr>
                <w:ilvl w:val="0"/>
                <w:numId w:val="0"/>
              </w:numPr>
              <w:ind w:leftChars="0"/>
              <w:jc w:val="left"/>
              <w:rPr>
                <w:rFonts w:hint="eastAsia"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1、三角函数、诱导公式及图像、性质。</w:t>
            </w:r>
          </w:p>
          <w:p>
            <w:pPr>
              <w:widowControl/>
              <w:numPr>
                <w:ilvl w:val="0"/>
                <w:numId w:val="0"/>
              </w:numPr>
              <w:jc w:val="left"/>
              <w:rPr>
                <w:rFonts w:hint="eastAsia"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2、直线方程和圆的方程有关计算。</w:t>
            </w:r>
          </w:p>
          <w:p>
            <w:pPr>
              <w:widowControl/>
              <w:numPr>
                <w:ilvl w:val="0"/>
                <w:numId w:val="0"/>
              </w:numPr>
              <w:jc w:val="left"/>
              <w:rPr>
                <w:rFonts w:hint="eastAsia"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3、三视图和概率计算。</w:t>
            </w:r>
          </w:p>
          <w:p>
            <w:pPr>
              <w:widowControl/>
              <w:numPr>
                <w:ilvl w:val="0"/>
                <w:numId w:val="0"/>
              </w:numPr>
              <w:jc w:val="left"/>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widowControl/>
              <w:numPr>
                <w:ilvl w:val="0"/>
                <w:numId w:val="5"/>
              </w:numPr>
              <w:ind w:leftChars="0"/>
              <w:jc w:val="left"/>
              <w:rPr>
                <w:rFonts w:hint="eastAsia"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讲授法、类比法、讨论法、实践锻炼法</w:t>
            </w:r>
          </w:p>
          <w:p>
            <w:pPr>
              <w:widowControl/>
              <w:numPr>
                <w:ilvl w:val="0"/>
                <w:numId w:val="5"/>
              </w:numPr>
              <w:ind w:leftChars="0"/>
              <w:jc w:val="left"/>
              <w:rPr>
                <w:rFonts w:hint="eastAsia"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采用任务驱动教学方法，在相关课时中，安排任务目标，用小组合作教学法，分组交流合作探究等形式。</w:t>
            </w:r>
          </w:p>
          <w:p>
            <w:pPr>
              <w:widowControl/>
              <w:numPr>
                <w:ilvl w:val="0"/>
                <w:numId w:val="5"/>
              </w:numPr>
              <w:ind w:leftChars="0"/>
              <w:jc w:val="left"/>
              <w:rPr>
                <w:rFonts w:hint="eastAsia"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认真钻研教材，采用新颖的教学导入点吸引学生兴趣，引导学生学习并严格要求，制定学习目标。</w:t>
            </w:r>
          </w:p>
          <w:p>
            <w:pPr>
              <w:widowControl/>
              <w:numPr>
                <w:ilvl w:val="0"/>
                <w:numId w:val="5"/>
              </w:numPr>
              <w:ind w:leftChars="0"/>
              <w:jc w:val="left"/>
              <w:rPr>
                <w:rFonts w:hint="eastAsia"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培养学生的创新能力和动手能力。</w:t>
            </w:r>
          </w:p>
          <w:p>
            <w:pPr>
              <w:spacing w:line="420" w:lineRule="exact"/>
              <w:ind w:firstLine="420" w:firstLineChars="200"/>
            </w:pPr>
          </w:p>
        </w:tc>
      </w:tr>
    </w:tbl>
    <w:p/>
    <w:tbl>
      <w:tblPr>
        <w:tblStyle w:val="2"/>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b/>
          <w:sz w:val="44"/>
        </w:rPr>
      </w:pPr>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角的概念、弧度制</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角的概念、弧度制</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任意角的三角函数</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任意角的三角函数</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p>
            <w:pPr>
              <w:widowControl/>
              <w:jc w:val="left"/>
              <w:rPr>
                <w:rFonts w:hint="default" w:ascii="宋体" w:hAnsi="宋体" w:eastAsia="宋体" w:cs="宋体"/>
                <w:kern w:val="0"/>
                <w:sz w:val="24"/>
                <w:szCs w:val="24"/>
                <w:lang w:val="en-US" w:eastAsia="zh-CN"/>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同角三角函数基本关系、诱导公式</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同角三角函数基本关系</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诱导公式、正弦函数图像和性质</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诱导公式、正弦函数图像和性质</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余弦函数图像和性质</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余弦函数图像和性质</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已知三角函数求角</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已知三角函数求角</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清明</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坐标系中的基本公式</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坐标系中的基本公式</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直线与方程</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直线与方程</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直线倾斜角、直线方程几种形式</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直线倾斜角、直线方程几种形式</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189" w:type="dxa"/>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五一假期</w:t>
            </w:r>
          </w:p>
        </w:tc>
        <w:tc>
          <w:tcPr>
            <w:tcW w:w="2453"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c>
          <w:tcPr>
            <w:tcW w:w="595"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五一</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点到直线的距离</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点到直线的距离</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hint="eastAsia" w:ascii="宋体" w:hAnsi="宋体" w:eastAsia="宋体" w:cs="宋体"/>
                <w:kern w:val="0"/>
                <w:sz w:val="24"/>
                <w:szCs w:val="24"/>
              </w:rPr>
            </w:pPr>
            <w:r>
              <w:rPr>
                <w:rFonts w:hint="eastAsia" w:ascii="宋体" w:hAnsi="宋体" w:eastAsia="宋体" w:cs="宋体"/>
                <w:kern w:val="0"/>
                <w:sz w:val="24"/>
                <w:szCs w:val="24"/>
                <w:lang w:eastAsia="zh-CN"/>
              </w:rPr>
              <w:t>直线和圆的位置关系</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lang w:eastAsia="zh-CN"/>
              </w:rPr>
              <w:t>直线和圆的位置关系</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hint="eastAsia" w:ascii="宋体" w:hAnsi="宋体" w:eastAsia="宋体" w:cs="宋体"/>
                <w:kern w:val="0"/>
                <w:sz w:val="24"/>
                <w:szCs w:val="24"/>
              </w:rPr>
            </w:pPr>
            <w:r>
              <w:rPr>
                <w:rFonts w:hint="eastAsia" w:ascii="宋体" w:hAnsi="宋体" w:eastAsia="宋体" w:cs="宋体"/>
                <w:kern w:val="0"/>
                <w:sz w:val="24"/>
                <w:szCs w:val="24"/>
                <w:lang w:eastAsia="zh-CN"/>
              </w:rPr>
              <w:t>直线和圆的方程的应用</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lang w:eastAsia="zh-CN"/>
              </w:rPr>
              <w:t>直线和圆的方程的应用</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空</w:t>
            </w:r>
            <w:r>
              <w:rPr>
                <w:rFonts w:hint="eastAsia" w:ascii="宋体" w:hAnsi="宋体" w:eastAsia="宋体" w:cs="宋体"/>
                <w:kern w:val="0"/>
                <w:sz w:val="24"/>
                <w:szCs w:val="24"/>
                <w:lang w:eastAsia="zh-CN"/>
              </w:rPr>
              <w:t>间几何体多面体与旋转体、棱柱、棱锥、圆柱、圆锥、球</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lang w:eastAsia="zh-CN"/>
              </w:rPr>
              <w:t>棱柱、棱锥、圆柱、圆锥、球</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lang w:eastAsia="zh-CN"/>
              </w:rPr>
              <w:t>三视图、直观图、空间几何体多面体与旋转体</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rPr>
            </w:pPr>
            <w:r>
              <w:rPr>
                <w:rFonts w:hint="eastAsia" w:ascii="宋体" w:hAnsi="宋体" w:eastAsia="宋体" w:cs="宋体"/>
                <w:kern w:val="0"/>
                <w:sz w:val="24"/>
                <w:szCs w:val="24"/>
                <w:lang w:eastAsia="zh-CN"/>
              </w:rPr>
              <w:t>三视图、直观</w:t>
            </w:r>
            <w:r>
              <w:rPr>
                <w:rFonts w:hint="eastAsia" w:ascii="宋体" w:hAnsi="宋体" w:eastAsia="宋体" w:cs="宋体"/>
                <w:kern w:val="0"/>
                <w:sz w:val="24"/>
                <w:szCs w:val="24"/>
                <w:lang w:val="en-US" w:eastAsia="zh-CN"/>
              </w:rPr>
              <w:t>图</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lang w:eastAsia="zh-CN"/>
              </w:rPr>
              <w:t>随机试验、古典概型、</w:t>
            </w:r>
            <w:r>
              <w:rPr>
                <w:rFonts w:hint="eastAsia" w:ascii="宋体" w:hAnsi="宋体" w:eastAsia="宋体" w:cs="宋体"/>
                <w:kern w:val="0"/>
                <w:sz w:val="24"/>
                <w:szCs w:val="24"/>
                <w:lang w:val="en-US" w:eastAsia="zh-CN"/>
              </w:rPr>
              <w:t>抽样方法</w:t>
            </w:r>
          </w:p>
        </w:tc>
        <w:tc>
          <w:tcPr>
            <w:tcW w:w="2453"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lang w:eastAsia="zh-CN"/>
              </w:rPr>
              <w:t>随机试验、古典概型、</w:t>
            </w:r>
            <w:r>
              <w:rPr>
                <w:rFonts w:hint="eastAsia" w:ascii="宋体" w:hAnsi="宋体" w:eastAsia="宋体" w:cs="宋体"/>
                <w:kern w:val="0"/>
                <w:sz w:val="24"/>
                <w:szCs w:val="24"/>
                <w:lang w:val="en-US" w:eastAsia="zh-CN"/>
              </w:rPr>
              <w:t>抽样方法</w:t>
            </w: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rPr>
            </w:pPr>
            <w:r>
              <w:rPr>
                <w:rFonts w:hint="eastAsia" w:ascii="宋体" w:hAnsi="宋体" w:eastAsia="宋体" w:cs="宋体"/>
                <w:kern w:val="0"/>
                <w:sz w:val="24"/>
                <w:szCs w:val="24"/>
                <w:lang w:val="en-US" w:eastAsia="zh-CN" w:bidi="ar-SA"/>
              </w:rPr>
              <w:t>用样本估计总体，方差，标准差</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rPr>
            </w:pPr>
            <w:r>
              <w:rPr>
                <w:rFonts w:hint="eastAsia" w:ascii="宋体" w:hAnsi="宋体" w:eastAsia="宋体" w:cs="宋体"/>
                <w:kern w:val="0"/>
                <w:sz w:val="24"/>
                <w:szCs w:val="24"/>
                <w:lang w:val="en-US" w:eastAsia="zh-CN" w:bidi="ar-SA"/>
              </w:rPr>
              <w:t>用样本估计总体，方差，标准差</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widowControl/>
              <w:rPr>
                <w:rFonts w:hint="default" w:ascii="宋体" w:hAnsi="宋体" w:eastAsia="宋体" w:cs="宋体"/>
                <w:kern w:val="0"/>
                <w:sz w:val="36"/>
                <w:szCs w:val="36"/>
                <w:lang w:val="en-US" w:eastAsia="zh-CN"/>
              </w:rPr>
            </w:pPr>
            <w:r>
              <w:rPr>
                <w:rFonts w:hint="eastAsia" w:ascii="宋体" w:hAnsi="宋体" w:eastAsia="宋体" w:cs="宋体"/>
                <w:b/>
                <w:bCs/>
                <w:kern w:val="0"/>
                <w:sz w:val="24"/>
                <w:szCs w:val="24"/>
                <w:lang w:val="en-US" w:eastAsia="zh-CN"/>
              </w:rPr>
              <w:t>期末复习</w:t>
            </w:r>
            <w:r>
              <w:rPr>
                <w:rFonts w:hint="eastAsia" w:ascii="宋体" w:hAnsi="宋体" w:eastAsia="宋体" w:cs="宋体"/>
                <w:kern w:val="0"/>
                <w:sz w:val="36"/>
                <w:szCs w:val="36"/>
                <w:lang w:val="en-US" w:eastAsia="zh-CN"/>
              </w:rPr>
              <w:t xml:space="preserve"> </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1C36CB"/>
    <w:multiLevelType w:val="singleLevel"/>
    <w:tmpl w:val="BF1C36CB"/>
    <w:lvl w:ilvl="0" w:tentative="0">
      <w:start w:val="2"/>
      <w:numFmt w:val="decimal"/>
      <w:suff w:val="nothing"/>
      <w:lvlText w:val="%1、"/>
      <w:lvlJc w:val="left"/>
    </w:lvl>
  </w:abstractNum>
  <w:abstractNum w:abstractNumId="1">
    <w:nsid w:val="4A6C5D2F"/>
    <w:multiLevelType w:val="singleLevel"/>
    <w:tmpl w:val="4A6C5D2F"/>
    <w:lvl w:ilvl="0" w:tentative="0">
      <w:start w:val="1"/>
      <w:numFmt w:val="chineseCounting"/>
      <w:suff w:val="nothing"/>
      <w:lvlText w:val="%1、"/>
      <w:lvlJc w:val="left"/>
      <w:rPr>
        <w:rFonts w:hint="eastAsia"/>
      </w:rPr>
    </w:lvl>
  </w:abstractNum>
  <w:abstractNum w:abstractNumId="2">
    <w:nsid w:val="5DE219E0"/>
    <w:multiLevelType w:val="singleLevel"/>
    <w:tmpl w:val="5DE219E0"/>
    <w:lvl w:ilvl="0" w:tentative="0">
      <w:start w:val="1"/>
      <w:numFmt w:val="decimal"/>
      <w:suff w:val="nothing"/>
      <w:lvlText w:val="%1、"/>
      <w:lvlJc w:val="left"/>
    </w:lvl>
  </w:abstractNum>
  <w:abstractNum w:abstractNumId="3">
    <w:nsid w:val="68506801"/>
    <w:multiLevelType w:val="singleLevel"/>
    <w:tmpl w:val="68506801"/>
    <w:lvl w:ilvl="0" w:tentative="0">
      <w:start w:val="1"/>
      <w:numFmt w:val="decimal"/>
      <w:suff w:val="nothing"/>
      <w:lvlText w:val="%1、"/>
      <w:lvlJc w:val="left"/>
    </w:lvl>
  </w:abstractNum>
  <w:abstractNum w:abstractNumId="4">
    <w:nsid w:val="746CCA62"/>
    <w:multiLevelType w:val="singleLevel"/>
    <w:tmpl w:val="746CCA62"/>
    <w:lvl w:ilvl="0" w:tentative="0">
      <w:start w:val="1"/>
      <w:numFmt w:val="decimal"/>
      <w:suff w:val="nothing"/>
      <w:lvlText w:val="%1、"/>
      <w:lvlJc w:val="left"/>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wNTNmYWI0NzQwYjY1NDRkZTlmMWYzMGQ4YWQ2MDE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4147FBF"/>
    <w:rsid w:val="08074D6B"/>
    <w:rsid w:val="0AB6302C"/>
    <w:rsid w:val="0D1D3A97"/>
    <w:rsid w:val="0DA16476"/>
    <w:rsid w:val="105772C0"/>
    <w:rsid w:val="175207E1"/>
    <w:rsid w:val="295B1778"/>
    <w:rsid w:val="318A46D6"/>
    <w:rsid w:val="33DC1707"/>
    <w:rsid w:val="4EF33CC4"/>
    <w:rsid w:val="50CB3298"/>
    <w:rsid w:val="542D593B"/>
    <w:rsid w:val="56DE534B"/>
    <w:rsid w:val="5AD05272"/>
    <w:rsid w:val="601F1801"/>
    <w:rsid w:val="624F1172"/>
    <w:rsid w:val="681F15E7"/>
    <w:rsid w:val="6FE4739E"/>
    <w:rsid w:val="75644ADD"/>
    <w:rsid w:val="762E3F22"/>
    <w:rsid w:val="77CB0E43"/>
    <w:rsid w:val="78A91184"/>
    <w:rsid w:val="79FC3482"/>
    <w:rsid w:val="7C8F53A8"/>
    <w:rsid w:val="7E5C10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3</TotalTime>
  <ScaleCrop>false</ScaleCrop>
  <LinksUpToDate>false</LinksUpToDate>
  <CharactersWithSpaces>2514</CharactersWithSpaces>
  <Application>WPS Office_11.1.0.10526_F1E327BC-269C-435d-A152-05C5408002CA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ZAL</cp:lastModifiedBy>
  <dcterms:modified xsi:type="dcterms:W3CDTF">2024-02-28T02:02:34Z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2052-11.1.0.10526</vt:lpwstr>
  </property>
  <property fmtid="{D5CDD505-2E9C-101B-9397-08002B2CF9AE}" pid="3" name="ICV">
    <vt:lpwstr>32FE4FA7EB1E478BAFDB1D0A011817D4</vt:lpwstr>
  </property>
</Properties>
</file>